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12B27" w14:textId="0CC2937F" w:rsidR="00E30565" w:rsidRPr="001E5518" w:rsidRDefault="001E5518" w:rsidP="001E5518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E5518">
        <w:rPr>
          <w:rFonts w:ascii="Times New Roman" w:hAnsi="Times New Roman" w:cs="Times New Roman"/>
          <w:sz w:val="36"/>
          <w:szCs w:val="36"/>
        </w:rPr>
        <w:t>Opgaven</w:t>
      </w:r>
    </w:p>
    <w:p w14:paraId="34E503DF" w14:textId="62FA0C9B" w:rsidR="001E5518" w:rsidRPr="00E30565" w:rsidRDefault="001E5518" w:rsidP="001E55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jeres grupper skal I nu læse følgende korte tekst om Bolivia og Chile, og derefter skal I bruge oplysningerne om landene og jeres nye viden om den komparative metode til at give jeres bud på, hvorfor Chile er så meget mere demokratisk end Bolivia. I finder en skabelon til et MSSD nederst i dokumentet. </w:t>
      </w:r>
    </w:p>
    <w:p w14:paraId="10FB77EA" w14:textId="41BE3D44" w:rsidR="00E30565" w:rsidRPr="00E30565" w:rsidRDefault="00E30565" w:rsidP="001E5518">
      <w:pPr>
        <w:spacing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 sydamerikanske nabolande: Bolivia og Chile</w:t>
      </w:r>
    </w:p>
    <w:p w14:paraId="4E48C6FE" w14:textId="6EE8E778" w:rsidR="00E01875" w:rsidRPr="00E30565" w:rsidRDefault="00922F51" w:rsidP="001E5518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6610A">
        <w:rPr>
          <w:rFonts w:ascii="Times New Roman" w:hAnsi="Times New Roman" w:cs="Times New Roman"/>
          <w:b/>
          <w:bCs/>
        </w:rPr>
        <w:t>B</w:t>
      </w:r>
      <w:r w:rsidR="00A6610A" w:rsidRPr="00A6610A">
        <w:rPr>
          <w:rFonts w:ascii="Times New Roman" w:hAnsi="Times New Roman" w:cs="Times New Roman"/>
          <w:b/>
          <w:bCs/>
        </w:rPr>
        <w:t>olivia</w:t>
      </w:r>
      <w:r w:rsidR="00E30565">
        <w:rPr>
          <w:rFonts w:ascii="Times New Roman" w:hAnsi="Times New Roman" w:cs="Times New Roman"/>
          <w:b/>
          <w:bCs/>
        </w:rPr>
        <w:t xml:space="preserve"> </w:t>
      </w:r>
      <w:r w:rsidR="00E01875">
        <w:rPr>
          <w:rFonts w:ascii="Times New Roman" w:hAnsi="Times New Roman" w:cs="Times New Roman"/>
        </w:rPr>
        <w:t xml:space="preserve">er </w:t>
      </w:r>
      <w:r w:rsidR="00496C86">
        <w:rPr>
          <w:rFonts w:ascii="Times New Roman" w:hAnsi="Times New Roman" w:cs="Times New Roman"/>
        </w:rPr>
        <w:t xml:space="preserve">et spansktalende </w:t>
      </w:r>
      <w:r w:rsidR="00E01875">
        <w:rPr>
          <w:rFonts w:ascii="Times New Roman" w:hAnsi="Times New Roman" w:cs="Times New Roman"/>
        </w:rPr>
        <w:t xml:space="preserve">land i Sydamerika, hvor den demokratiske udvikling ikke er lige så langt som i andre sydamerikanske lande, herunder dets naboland, Chile. </w:t>
      </w:r>
      <w:r w:rsidR="002C6819">
        <w:rPr>
          <w:rFonts w:ascii="Times New Roman" w:hAnsi="Times New Roman" w:cs="Times New Roman"/>
        </w:rPr>
        <w:t xml:space="preserve">Forskerne ved </w:t>
      </w:r>
      <w:r w:rsidR="00E01875">
        <w:rPr>
          <w:rFonts w:ascii="Times New Roman" w:hAnsi="Times New Roman" w:cs="Times New Roman"/>
        </w:rPr>
        <w:t xml:space="preserve">Freedom House giver </w:t>
      </w:r>
      <w:r w:rsidR="00FC0A82">
        <w:rPr>
          <w:rFonts w:ascii="Times New Roman" w:hAnsi="Times New Roman" w:cs="Times New Roman"/>
        </w:rPr>
        <w:t xml:space="preserve">landet en demokratiscore på 66 ud af 100, hvor 100 er et absolut demokrati. </w:t>
      </w:r>
    </w:p>
    <w:p w14:paraId="526232D9" w14:textId="6D59286E" w:rsidR="00496C86" w:rsidRPr="00467F7B" w:rsidRDefault="00FC0A82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467F7B" w:rsidRPr="00467F7B">
        <w:rPr>
          <w:rFonts w:ascii="Times New Roman" w:hAnsi="Times New Roman" w:cs="Times New Roman"/>
        </w:rPr>
        <w:t xml:space="preserve">1538 blev Bolivia erobret </w:t>
      </w:r>
      <w:r>
        <w:rPr>
          <w:rFonts w:ascii="Times New Roman" w:hAnsi="Times New Roman" w:cs="Times New Roman"/>
        </w:rPr>
        <w:t xml:space="preserve">og koloniseret </w:t>
      </w:r>
      <w:r w:rsidR="00467F7B" w:rsidRPr="00467F7B">
        <w:rPr>
          <w:rFonts w:ascii="Times New Roman" w:hAnsi="Times New Roman" w:cs="Times New Roman"/>
        </w:rPr>
        <w:t>af Spanien</w:t>
      </w:r>
      <w:r>
        <w:rPr>
          <w:rFonts w:ascii="Times New Roman" w:hAnsi="Times New Roman" w:cs="Times New Roman"/>
        </w:rPr>
        <w:t xml:space="preserve"> og i dag er ca. 80% af befolkningen af europæisk e</w:t>
      </w:r>
      <w:r w:rsidR="00496C86">
        <w:rPr>
          <w:rFonts w:ascii="Times New Roman" w:hAnsi="Times New Roman" w:cs="Times New Roman"/>
        </w:rPr>
        <w:t xml:space="preserve">ller indiansk-europæisk oprindelse, imens </w:t>
      </w:r>
      <w:r w:rsidR="002C6819">
        <w:rPr>
          <w:rFonts w:ascii="Times New Roman" w:hAnsi="Times New Roman" w:cs="Times New Roman"/>
        </w:rPr>
        <w:t>godt</w:t>
      </w:r>
      <w:r w:rsidR="00496C86">
        <w:rPr>
          <w:rFonts w:ascii="Times New Roman" w:hAnsi="Times New Roman" w:cs="Times New Roman"/>
        </w:rPr>
        <w:t xml:space="preserve"> 20% af Bolivias befolkning er forskellige oprindelige folk. </w:t>
      </w:r>
    </w:p>
    <w:p w14:paraId="0AA7EFD1" w14:textId="0F3048C9" w:rsidR="00467F7B" w:rsidRDefault="00467F7B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67F7B">
        <w:rPr>
          <w:rFonts w:ascii="Times New Roman" w:hAnsi="Times New Roman" w:cs="Times New Roman"/>
        </w:rPr>
        <w:t>Bolivia er et af Sydamerikas fattigste lande</w:t>
      </w:r>
      <w:r w:rsidR="00496C86">
        <w:rPr>
          <w:rFonts w:ascii="Times New Roman" w:hAnsi="Times New Roman" w:cs="Times New Roman"/>
        </w:rPr>
        <w:t xml:space="preserve">, </w:t>
      </w:r>
      <w:r w:rsidRPr="00467F7B">
        <w:rPr>
          <w:rFonts w:ascii="Times New Roman" w:hAnsi="Times New Roman" w:cs="Times New Roman"/>
        </w:rPr>
        <w:t>og der er store forskelle mellem rige og fattige.</w:t>
      </w:r>
      <w:r>
        <w:rPr>
          <w:rFonts w:ascii="Times New Roman" w:hAnsi="Times New Roman" w:cs="Times New Roman"/>
        </w:rPr>
        <w:t xml:space="preserve"> </w:t>
      </w:r>
      <w:r w:rsidR="00496C86">
        <w:rPr>
          <w:rFonts w:ascii="Times New Roman" w:hAnsi="Times New Roman" w:cs="Times New Roman"/>
        </w:rPr>
        <w:t>Landet har et BNP pr indbygger på</w:t>
      </w:r>
      <w:r w:rsidR="00E30565">
        <w:rPr>
          <w:rFonts w:ascii="Times New Roman" w:hAnsi="Times New Roman" w:cs="Times New Roman"/>
        </w:rPr>
        <w:t xml:space="preserve"> ca.</w:t>
      </w:r>
      <w:r w:rsidR="00496C86">
        <w:rPr>
          <w:rFonts w:ascii="Times New Roman" w:hAnsi="Times New Roman" w:cs="Times New Roman"/>
        </w:rPr>
        <w:t xml:space="preserve"> 9.0</w:t>
      </w:r>
      <w:r w:rsidR="00E30565">
        <w:rPr>
          <w:rFonts w:ascii="Times New Roman" w:hAnsi="Times New Roman" w:cs="Times New Roman"/>
        </w:rPr>
        <w:t>0</w:t>
      </w:r>
      <w:r w:rsidR="00496C86">
        <w:rPr>
          <w:rFonts w:ascii="Times New Roman" w:hAnsi="Times New Roman" w:cs="Times New Roman"/>
        </w:rPr>
        <w:t xml:space="preserve">0 dollars, hvilket betyder at en gennemsnitlig </w:t>
      </w:r>
      <w:r w:rsidR="006B50CA">
        <w:rPr>
          <w:rFonts w:ascii="Times New Roman" w:hAnsi="Times New Roman" w:cs="Times New Roman"/>
        </w:rPr>
        <w:t>b</w:t>
      </w:r>
      <w:r w:rsidR="00496C86">
        <w:rPr>
          <w:rFonts w:ascii="Times New Roman" w:hAnsi="Times New Roman" w:cs="Times New Roman"/>
        </w:rPr>
        <w:t xml:space="preserve">olivianer </w:t>
      </w:r>
      <w:r w:rsidR="006B50CA">
        <w:rPr>
          <w:rFonts w:ascii="Times New Roman" w:hAnsi="Times New Roman" w:cs="Times New Roman"/>
        </w:rPr>
        <w:t>kan bruge</w:t>
      </w:r>
      <w:r w:rsidR="00496C86">
        <w:rPr>
          <w:rFonts w:ascii="Times New Roman" w:hAnsi="Times New Roman" w:cs="Times New Roman"/>
        </w:rPr>
        <w:t xml:space="preserve"> </w:t>
      </w:r>
      <w:r w:rsidR="006B50CA">
        <w:rPr>
          <w:rFonts w:ascii="Times New Roman" w:hAnsi="Times New Roman" w:cs="Times New Roman"/>
        </w:rPr>
        <w:t>9.0</w:t>
      </w:r>
      <w:r w:rsidR="00E30565">
        <w:rPr>
          <w:rFonts w:ascii="Times New Roman" w:hAnsi="Times New Roman" w:cs="Times New Roman"/>
        </w:rPr>
        <w:t>0</w:t>
      </w:r>
      <w:r w:rsidR="006B50CA">
        <w:rPr>
          <w:rFonts w:ascii="Times New Roman" w:hAnsi="Times New Roman" w:cs="Times New Roman"/>
        </w:rPr>
        <w:t xml:space="preserve">0 dollars om året. </w:t>
      </w:r>
    </w:p>
    <w:p w14:paraId="0E9DF348" w14:textId="1CEA6D48" w:rsidR="00922F51" w:rsidRDefault="002C6819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Bolivia kan 93% af indbyggerne over 15 år læse og skrive. </w:t>
      </w:r>
    </w:p>
    <w:p w14:paraId="0108220C" w14:textId="7E5F1611" w:rsidR="00467F7B" w:rsidRDefault="002C6819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30565">
        <w:rPr>
          <w:rFonts w:ascii="Times New Roman" w:hAnsi="Times New Roman" w:cs="Times New Roman"/>
          <w:b/>
          <w:bCs/>
        </w:rPr>
        <w:t>Chile</w:t>
      </w:r>
      <w:r w:rsidRPr="002C6819">
        <w:rPr>
          <w:rFonts w:ascii="Times New Roman" w:hAnsi="Times New Roman" w:cs="Times New Roman"/>
        </w:rPr>
        <w:t xml:space="preserve"> er også et spanskt</w:t>
      </w:r>
      <w:r>
        <w:rPr>
          <w:rFonts w:ascii="Times New Roman" w:hAnsi="Times New Roman" w:cs="Times New Roman"/>
        </w:rPr>
        <w:t xml:space="preserve">alende land i Sydamerika, men det er et af de mest demokratiske lande i regionen. Forskerne ved Freedom House giver landet en demokratiscore på 94 ud af 100, hvor 100 er et absolut demokrati. </w:t>
      </w:r>
    </w:p>
    <w:p w14:paraId="20DE8C41" w14:textId="2AA214F3" w:rsidR="002C6819" w:rsidRDefault="002C6819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Spanierne koloniserede Chile omkring år 1530 og i dag er ca. 80% af befolkningen af europæisk eller indiansk-europæisk oprindelse, imens små 20% er forskellige oprindelige folk.</w:t>
      </w:r>
    </w:p>
    <w:p w14:paraId="270A723D" w14:textId="0F5BE869" w:rsidR="00E30565" w:rsidRPr="002C6819" w:rsidRDefault="00E30565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Chile er et af Sydamerikas rigeste lande, men der er store forskelle mellem rige og fattige. Landet har et BNP pr indbygger på ca. 29.000 dollars.  </w:t>
      </w:r>
    </w:p>
    <w:p w14:paraId="5F2AD64C" w14:textId="142D3295" w:rsidR="00467F7B" w:rsidRDefault="00467F7B" w:rsidP="001E551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96% </w:t>
      </w:r>
      <w:r w:rsidRPr="00467F7B">
        <w:rPr>
          <w:rFonts w:ascii="Times New Roman" w:hAnsi="Times New Roman" w:cs="Times New Roman"/>
        </w:rPr>
        <w:t xml:space="preserve">af </w:t>
      </w:r>
      <w:r w:rsidR="00E30565">
        <w:rPr>
          <w:rFonts w:ascii="Times New Roman" w:hAnsi="Times New Roman" w:cs="Times New Roman"/>
        </w:rPr>
        <w:t>indbyggerne</w:t>
      </w:r>
      <w:r w:rsidRPr="00467F7B">
        <w:rPr>
          <w:rFonts w:ascii="Times New Roman" w:hAnsi="Times New Roman" w:cs="Times New Roman"/>
        </w:rPr>
        <w:t xml:space="preserve"> over 15 år</w:t>
      </w:r>
      <w:r w:rsidR="00E30565">
        <w:rPr>
          <w:rFonts w:ascii="Times New Roman" w:hAnsi="Times New Roman" w:cs="Times New Roman"/>
        </w:rPr>
        <w:t xml:space="preserve"> </w:t>
      </w:r>
      <w:r w:rsidRPr="00467F7B">
        <w:rPr>
          <w:rFonts w:ascii="Times New Roman" w:hAnsi="Times New Roman" w:cs="Times New Roman"/>
        </w:rPr>
        <w:t>kan læse og skrive</w:t>
      </w:r>
      <w:r w:rsidR="00E30565">
        <w:rPr>
          <w:rFonts w:ascii="Times New Roman" w:hAnsi="Times New Roman" w:cs="Times New Roman"/>
        </w:rPr>
        <w:t xml:space="preserve">. </w:t>
      </w:r>
    </w:p>
    <w:p w14:paraId="3FBB81B8" w14:textId="57F5EA29" w:rsidR="00E01875" w:rsidRPr="00E01875" w:rsidRDefault="00A6610A" w:rsidP="001E5518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E01875">
        <w:rPr>
          <w:rFonts w:ascii="Times New Roman" w:hAnsi="Times New Roman" w:cs="Times New Roman"/>
          <w:sz w:val="20"/>
          <w:szCs w:val="20"/>
        </w:rPr>
        <w:t>Kilde</w:t>
      </w:r>
      <w:r w:rsidR="00E01875" w:rsidRPr="00E01875">
        <w:rPr>
          <w:rFonts w:ascii="Times New Roman" w:hAnsi="Times New Roman" w:cs="Times New Roman"/>
          <w:sz w:val="20"/>
          <w:szCs w:val="20"/>
        </w:rPr>
        <w:t>r:</w:t>
      </w:r>
    </w:p>
    <w:p w14:paraId="65553BE6" w14:textId="1A99ADD8" w:rsidR="00A6610A" w:rsidRDefault="001C7920" w:rsidP="001E5518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01875" w:rsidRPr="00E01875">
          <w:rPr>
            <w:rStyle w:val="Hyperlink"/>
            <w:rFonts w:ascii="Times New Roman" w:hAnsi="Times New Roman" w:cs="Times New Roman"/>
            <w:sz w:val="20"/>
            <w:szCs w:val="20"/>
          </w:rPr>
          <w:t>https://www.globalis.dk/Lande/chile</w:t>
        </w:r>
      </w:hyperlink>
      <w:r w:rsidR="00A6610A" w:rsidRPr="00E01875">
        <w:rPr>
          <w:rFonts w:ascii="Times New Roman" w:hAnsi="Times New Roman" w:cs="Times New Roman"/>
          <w:sz w:val="20"/>
          <w:szCs w:val="20"/>
        </w:rPr>
        <w:t xml:space="preserve">, opdateret i 2019. </w:t>
      </w:r>
    </w:p>
    <w:p w14:paraId="14AF06E5" w14:textId="67C5F819" w:rsidR="001E5518" w:rsidRPr="00E01875" w:rsidRDefault="001C7920" w:rsidP="001E5518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E5518" w:rsidRPr="00E01875">
          <w:rPr>
            <w:rStyle w:val="Hyperlink"/>
            <w:rFonts w:ascii="Times New Roman" w:hAnsi="Times New Roman" w:cs="Times New Roman"/>
            <w:sz w:val="20"/>
            <w:szCs w:val="20"/>
          </w:rPr>
          <w:t>https://www.globalis.dk/Lande/bolivia</w:t>
        </w:r>
      </w:hyperlink>
      <w:r w:rsidR="001E5518" w:rsidRPr="00E01875">
        <w:rPr>
          <w:rFonts w:ascii="Times New Roman" w:hAnsi="Times New Roman" w:cs="Times New Roman"/>
          <w:sz w:val="20"/>
          <w:szCs w:val="20"/>
        </w:rPr>
        <w:t xml:space="preserve">, opdateret i 2019. </w:t>
      </w:r>
    </w:p>
    <w:p w14:paraId="3D9A7F4F" w14:textId="134348E8" w:rsidR="00E30565" w:rsidRPr="001E5518" w:rsidRDefault="001C7920" w:rsidP="001E5518">
      <w:pPr>
        <w:spacing w:after="12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="00E01875" w:rsidRPr="00E0187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https://freedomhouse.org/explore-the-map?type=fiw&amp;year=2022</w:t>
        </w:r>
      </w:hyperlink>
      <w:r w:rsidR="00E01875" w:rsidRPr="00E01875">
        <w:rPr>
          <w:rFonts w:ascii="Times New Roman" w:hAnsi="Times New Roman" w:cs="Times New Roman"/>
          <w:sz w:val="20"/>
          <w:szCs w:val="20"/>
          <w:lang w:val="en-US"/>
        </w:rPr>
        <w:t>, data for 2021</w:t>
      </w:r>
    </w:p>
    <w:p w14:paraId="21D22832" w14:textId="1FA11594" w:rsidR="00E30565" w:rsidRDefault="00E30565" w:rsidP="001E5518">
      <w:pPr>
        <w:spacing w:after="12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Skabelon til et Most Similar Systems Design (MSSD)</w:t>
      </w:r>
    </w:p>
    <w:tbl>
      <w:tblPr>
        <w:tblW w:w="972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3826"/>
        <w:gridCol w:w="3827"/>
      </w:tblGrid>
      <w:tr w:rsidR="001E5518" w:rsidRPr="001E5518" w14:paraId="5D3550D6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0C830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C923C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Chile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2D57F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Bolivia</w:t>
            </w:r>
          </w:p>
        </w:tc>
      </w:tr>
      <w:tr w:rsidR="001E5518" w:rsidRPr="001E5518" w14:paraId="3D3E3610" w14:textId="77777777" w:rsidTr="001E5518">
        <w:trPr>
          <w:trHeight w:val="584"/>
        </w:trPr>
        <w:tc>
          <w:tcPr>
            <w:tcW w:w="2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B0A91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Demokratiniveau</w:t>
            </w:r>
          </w:p>
        </w:tc>
        <w:tc>
          <w:tcPr>
            <w:tcW w:w="38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13AEF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</w:rPr>
              <w:t>Højt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ECFFF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</w:rPr>
              <w:t>Middel</w:t>
            </w:r>
          </w:p>
        </w:tc>
      </w:tr>
      <w:tr w:rsidR="001E5518" w:rsidRPr="001E5518" w14:paraId="2718E441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CE825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Koloniarv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28F3D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DC8B0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E5518" w:rsidRPr="001E5518" w14:paraId="221BB021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953B4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Etnicitet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CDBCE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96F9D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E5518" w:rsidRPr="001E5518" w14:paraId="3EE73820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0B084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Geografi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07938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714D6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E5518" w:rsidRPr="001E5518" w14:paraId="27F7028F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0EA0F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Økonomi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01165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848A0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E5518" w:rsidRPr="001E5518" w14:paraId="0A026CD3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9F905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Ulighed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32330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9B144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E5518" w:rsidRPr="001E5518" w14:paraId="5A11F12D" w14:textId="77777777" w:rsidTr="001E5518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14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59C84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E5518">
              <w:rPr>
                <w:rFonts w:ascii="Times New Roman" w:hAnsi="Times New Roman" w:cs="Times New Roman"/>
                <w:b/>
                <w:bCs/>
              </w:rPr>
              <w:t>Uddannelse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240D4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DECCB" w14:textId="77777777" w:rsidR="001E5518" w:rsidRPr="001E5518" w:rsidRDefault="001E5518" w:rsidP="001E5518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1C58937" w14:textId="30E23794" w:rsidR="001E5518" w:rsidRDefault="001E5518" w:rsidP="001E5518">
      <w:pPr>
        <w:spacing w:after="120" w:line="360" w:lineRule="auto"/>
        <w:rPr>
          <w:rFonts w:ascii="Times New Roman" w:hAnsi="Times New Roman" w:cs="Times New Roman"/>
        </w:rPr>
      </w:pPr>
    </w:p>
    <w:p w14:paraId="717AF950" w14:textId="77777777" w:rsidR="001E5518" w:rsidRPr="001E5518" w:rsidRDefault="001E5518" w:rsidP="001E5518">
      <w:pPr>
        <w:spacing w:after="120" w:line="360" w:lineRule="auto"/>
        <w:rPr>
          <w:rFonts w:ascii="Times New Roman" w:hAnsi="Times New Roman" w:cs="Times New Roman"/>
        </w:rPr>
      </w:pPr>
    </w:p>
    <w:sectPr w:rsidR="001E5518" w:rsidRPr="001E5518" w:rsidSect="00297F75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7919" w14:textId="77777777" w:rsidR="003C64F4" w:rsidRDefault="003C64F4" w:rsidP="001E5518">
      <w:r>
        <w:separator/>
      </w:r>
    </w:p>
  </w:endnote>
  <w:endnote w:type="continuationSeparator" w:id="0">
    <w:p w14:paraId="78B4C19B" w14:textId="77777777" w:rsidR="003C64F4" w:rsidRDefault="003C64F4" w:rsidP="001E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8646" w14:textId="77777777" w:rsidR="003C64F4" w:rsidRDefault="003C64F4" w:rsidP="001E5518">
      <w:r>
        <w:separator/>
      </w:r>
    </w:p>
  </w:footnote>
  <w:footnote w:type="continuationSeparator" w:id="0">
    <w:p w14:paraId="4BC912A0" w14:textId="77777777" w:rsidR="003C64F4" w:rsidRDefault="003C64F4" w:rsidP="001E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01C5" w14:textId="09A99F71" w:rsidR="001E5518" w:rsidRPr="001E5518" w:rsidRDefault="001E5518" w:rsidP="001E5518">
    <w:pPr>
      <w:pStyle w:val="Sidehoved"/>
      <w:tabs>
        <w:tab w:val="clear" w:pos="9638"/>
        <w:tab w:val="right" w:pos="9632"/>
      </w:tabs>
      <w:rPr>
        <w:rFonts w:ascii="Times New Roman" w:hAnsi="Times New Roman" w:cs="Times New Roman"/>
      </w:rPr>
    </w:pPr>
    <w:r w:rsidRPr="001E5518">
      <w:rPr>
        <w:rFonts w:ascii="Times New Roman" w:hAnsi="Times New Roman" w:cs="Times New Roman"/>
      </w:rPr>
      <w:t>Demokrati eller økonomisk tryghed: Hvad vælger du?</w:t>
    </w:r>
    <w:r w:rsidRPr="001E5518">
      <w:rPr>
        <w:rFonts w:ascii="Times New Roman" w:hAnsi="Times New Roman" w:cs="Times New Roman"/>
      </w:rPr>
      <w:tab/>
      <w:t>Det rullende Universitet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D"/>
    <w:rsid w:val="001C7920"/>
    <w:rsid w:val="001E5518"/>
    <w:rsid w:val="002843EC"/>
    <w:rsid w:val="00297F75"/>
    <w:rsid w:val="002C6819"/>
    <w:rsid w:val="003018E6"/>
    <w:rsid w:val="0033134D"/>
    <w:rsid w:val="00341F5A"/>
    <w:rsid w:val="003C64F4"/>
    <w:rsid w:val="00467F7B"/>
    <w:rsid w:val="004770AB"/>
    <w:rsid w:val="00496C86"/>
    <w:rsid w:val="006B50CA"/>
    <w:rsid w:val="00922F51"/>
    <w:rsid w:val="00A6610A"/>
    <w:rsid w:val="00DC4205"/>
    <w:rsid w:val="00E01875"/>
    <w:rsid w:val="00E30565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E4D"/>
  <w15:chartTrackingRefBased/>
  <w15:docId w15:val="{59FA2B8B-2448-5142-A765-1CE9FF5F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2F5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22F5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E55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5518"/>
  </w:style>
  <w:style w:type="paragraph" w:styleId="Sidefod">
    <w:name w:val="footer"/>
    <w:basedOn w:val="Normal"/>
    <w:link w:val="SidefodTegn"/>
    <w:uiPriority w:val="99"/>
    <w:unhideWhenUsed/>
    <w:rsid w:val="001E55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725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697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house.org/explore-the-map?type=fiw&amp;year=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balis.dk/Lande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is.dk/Lande/chi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Bech Nystrup Andersen</dc:creator>
  <cp:keywords/>
  <dc:description/>
  <cp:lastModifiedBy>Pernille Damgaard Deding</cp:lastModifiedBy>
  <cp:revision>2</cp:revision>
  <dcterms:created xsi:type="dcterms:W3CDTF">2022-08-31T11:40:00Z</dcterms:created>
  <dcterms:modified xsi:type="dcterms:W3CDTF">2022-08-31T11:40:00Z</dcterms:modified>
</cp:coreProperties>
</file>